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AD" w:rsidRDefault="00304D58" w:rsidP="001178C7">
      <w:pPr>
        <w:spacing w:after="120"/>
        <w:jc w:val="center"/>
        <w:rPr>
          <w:b/>
          <w:bCs/>
        </w:rPr>
      </w:pPr>
      <w:r w:rsidRPr="008754DD">
        <w:rPr>
          <w:b/>
          <w:bCs/>
        </w:rPr>
        <w:t xml:space="preserve">The Crisis Housing </w:t>
      </w:r>
      <w:r w:rsidR="00D060A5">
        <w:rPr>
          <w:b/>
          <w:bCs/>
        </w:rPr>
        <w:t xml:space="preserve">Act of 2020 </w:t>
      </w:r>
    </w:p>
    <w:p w:rsidR="00445D02" w:rsidRPr="00445D02" w:rsidRDefault="00D060A5" w:rsidP="001178C7">
      <w:pPr>
        <w:spacing w:after="120"/>
        <w:jc w:val="center"/>
        <w:rPr>
          <w:b/>
          <w:bCs/>
          <w:i/>
          <w:iCs/>
        </w:rPr>
      </w:pPr>
      <w:r>
        <w:rPr>
          <w:b/>
          <w:bCs/>
          <w:i/>
          <w:iCs/>
        </w:rPr>
        <w:t>Introduced by Senator Chris Van Hollen</w:t>
      </w:r>
      <w:r w:rsidR="006A7A9F">
        <w:rPr>
          <w:b/>
          <w:bCs/>
          <w:i/>
          <w:iCs/>
        </w:rPr>
        <w:t xml:space="preserve"> and </w:t>
      </w:r>
      <w:r w:rsidR="006A7A9F">
        <w:rPr>
          <w:b/>
          <w:bCs/>
          <w:i/>
          <w:iCs/>
        </w:rPr>
        <w:t>Senator Brian Schatz</w:t>
      </w:r>
      <w:bookmarkStart w:id="0" w:name="_GoBack"/>
      <w:bookmarkEnd w:id="0"/>
    </w:p>
    <w:p w:rsidR="008F2A0A" w:rsidRDefault="00376BC7" w:rsidP="001178C7">
      <w:pPr>
        <w:spacing w:after="120"/>
      </w:pPr>
      <w:r>
        <w:t>The United States had a</w:t>
      </w:r>
      <w:r w:rsidR="00C17473">
        <w:t>n affordable</w:t>
      </w:r>
      <w:r>
        <w:t xml:space="preserve"> housing crisis before the COVID-19 outbreak and the associated economic impacts.</w:t>
      </w:r>
      <w:r w:rsidR="00C17473">
        <w:rPr>
          <w:rStyle w:val="FootnoteReference"/>
        </w:rPr>
        <w:footnoteReference w:id="1"/>
      </w:r>
      <w:r w:rsidR="008F2A0A">
        <w:t xml:space="preserve"> The outbreak has highlighted the fragility of the country’s housing situation</w:t>
      </w:r>
      <w:r w:rsidR="00E475EF">
        <w:t>, which is made all the more vulnerable considering the increased likelihood for increasing and worsening disasters</w:t>
      </w:r>
      <w:r w:rsidR="000B4203">
        <w:t xml:space="preserve"> or economic crises. </w:t>
      </w:r>
      <w:r w:rsidR="003F64A7">
        <w:t xml:space="preserve">A permanent, automatic trigger-based program to provide housing </w:t>
      </w:r>
      <w:r w:rsidR="00D060A5">
        <w:t>rental assistance</w:t>
      </w:r>
      <w:r w:rsidR="003F64A7">
        <w:t xml:space="preserve"> will relieve pressure on households at the greatest risk.</w:t>
      </w:r>
    </w:p>
    <w:p w:rsidR="001415AD" w:rsidRDefault="003F64A7" w:rsidP="001178C7">
      <w:pPr>
        <w:spacing w:after="120"/>
        <w:rPr>
          <w:bCs/>
          <w:iCs/>
        </w:rPr>
      </w:pPr>
      <w:r w:rsidRPr="003F64A7">
        <w:rPr>
          <w:b/>
          <w:iCs/>
        </w:rPr>
        <w:t>Low-income households live in constant risk of losing their housing.</w:t>
      </w:r>
      <w:r>
        <w:rPr>
          <w:bCs/>
          <w:iCs/>
        </w:rPr>
        <w:t xml:space="preserve"> </w:t>
      </w:r>
      <w:r w:rsidR="00EE4A10" w:rsidRPr="00EE4A10">
        <w:rPr>
          <w:bCs/>
          <w:iCs/>
        </w:rPr>
        <w:t>Before the outbreak, even in what was viewed as a strong economy, 15 percent of U.S. households paid more than 50 percent of their income on housing; 30 percent paid more than 30 percent of their income.</w:t>
      </w:r>
      <w:r w:rsidR="00BB7750" w:rsidRPr="00EE4A10">
        <w:rPr>
          <w:bCs/>
          <w:iCs/>
          <w:vertAlign w:val="superscript"/>
        </w:rPr>
        <w:footnoteReference w:id="2"/>
      </w:r>
      <w:r w:rsidR="00BB7750" w:rsidRPr="00EE4A10">
        <w:rPr>
          <w:bCs/>
          <w:iCs/>
        </w:rPr>
        <w:t xml:space="preserve"> </w:t>
      </w:r>
      <w:r w:rsidR="00EE4A10" w:rsidRPr="00EE4A10">
        <w:rPr>
          <w:bCs/>
          <w:iCs/>
        </w:rPr>
        <w:t xml:space="preserve">Another </w:t>
      </w:r>
      <w:r w:rsidR="00B53F07">
        <w:rPr>
          <w:bCs/>
          <w:iCs/>
        </w:rPr>
        <w:t>roughly</w:t>
      </w:r>
      <w:r w:rsidR="00EE4A10" w:rsidRPr="00EE4A10">
        <w:rPr>
          <w:bCs/>
          <w:iCs/>
        </w:rPr>
        <w:t xml:space="preserve"> 500,000 people are experiencing homelessness.</w:t>
      </w:r>
      <w:r w:rsidR="00BB7750" w:rsidRPr="00EE4A10">
        <w:rPr>
          <w:bCs/>
          <w:iCs/>
          <w:vertAlign w:val="superscript"/>
        </w:rPr>
        <w:footnoteReference w:id="3"/>
      </w:r>
      <w:r w:rsidR="00BB7750" w:rsidRPr="00EE4A10">
        <w:rPr>
          <w:bCs/>
          <w:iCs/>
        </w:rPr>
        <w:t xml:space="preserve"> </w:t>
      </w:r>
    </w:p>
    <w:p w:rsidR="00EE23F8" w:rsidRPr="00EE23F8" w:rsidRDefault="001415AD" w:rsidP="001178C7">
      <w:pPr>
        <w:spacing w:after="120"/>
      </w:pPr>
      <w:r w:rsidRPr="001415AD">
        <w:rPr>
          <w:b/>
          <w:iCs/>
        </w:rPr>
        <w:t>Existing housing recovery programs are not enough.</w:t>
      </w:r>
      <w:r>
        <w:rPr>
          <w:bCs/>
          <w:iCs/>
        </w:rPr>
        <w:t xml:space="preserve"> </w:t>
      </w:r>
      <w:r w:rsidR="00BF162A">
        <w:rPr>
          <w:bCs/>
          <w:iCs/>
        </w:rPr>
        <w:t xml:space="preserve">When economic crises or natural disasters </w:t>
      </w:r>
      <w:r w:rsidR="00EE4A10" w:rsidRPr="00EE4A10">
        <w:rPr>
          <w:bCs/>
          <w:iCs/>
        </w:rPr>
        <w:t>strike</w:t>
      </w:r>
      <w:r w:rsidR="00F93841">
        <w:rPr>
          <w:bCs/>
          <w:iCs/>
        </w:rPr>
        <w:t>,</w:t>
      </w:r>
      <w:r w:rsidR="00EE4A10" w:rsidRPr="00EE4A10">
        <w:rPr>
          <w:bCs/>
          <w:iCs/>
        </w:rPr>
        <w:t xml:space="preserve"> people</w:t>
      </w:r>
      <w:r w:rsidR="00F93841">
        <w:rPr>
          <w:bCs/>
          <w:iCs/>
        </w:rPr>
        <w:t xml:space="preserve"> in fragile housing situations are often displaced </w:t>
      </w:r>
      <w:r w:rsidR="008C2F35">
        <w:rPr>
          <w:bCs/>
          <w:iCs/>
        </w:rPr>
        <w:t xml:space="preserve">and fall victim to recovery programs that are often insufficient and too late. </w:t>
      </w:r>
      <w:r w:rsidR="007723C0">
        <w:t xml:space="preserve">Bipartisan </w:t>
      </w:r>
      <w:r w:rsidR="009D74E6">
        <w:t>Congressional findings have long criticized FEMA’s housing strategies as “slow and unreliable.”</w:t>
      </w:r>
      <w:r w:rsidR="00DF50F9">
        <w:rPr>
          <w:rStyle w:val="FootnoteReference"/>
        </w:rPr>
        <w:footnoteReference w:id="4"/>
      </w:r>
      <w:r w:rsidR="00467F93">
        <w:t xml:space="preserve"> </w:t>
      </w:r>
      <w:r w:rsidR="00C95DCD">
        <w:t>The federal government has multiple housing programs</w:t>
      </w:r>
      <w:r w:rsidR="00352A99">
        <w:t>, each of which often fails to meet the needs of low-</w:t>
      </w:r>
      <w:proofErr w:type="gramStart"/>
      <w:r w:rsidR="00352A99">
        <w:t>income</w:t>
      </w:r>
      <w:proofErr w:type="gramEnd"/>
      <w:r w:rsidR="00352A99">
        <w:t xml:space="preserve"> survivors and, when taken together, are too complicated and burdensome.</w:t>
      </w:r>
      <w:r w:rsidR="00DA4F7A">
        <w:rPr>
          <w:rStyle w:val="FootnoteReference"/>
        </w:rPr>
        <w:footnoteReference w:id="5"/>
      </w:r>
      <w:r w:rsidR="00352A99">
        <w:t xml:space="preserve"> </w:t>
      </w:r>
      <w:r w:rsidR="00542895">
        <w:t>The programs as a whole also favor the middle and upper class over the lowest income survivors.</w:t>
      </w:r>
      <w:r w:rsidR="008D160C">
        <w:rPr>
          <w:rStyle w:val="FootnoteReference"/>
        </w:rPr>
        <w:footnoteReference w:id="6"/>
      </w:r>
      <w:r w:rsidR="00542895">
        <w:t xml:space="preserve"> </w:t>
      </w:r>
      <w:r w:rsidR="00EE23F8">
        <w:t xml:space="preserve">In 2018, Craig Fugate, former FEMA administrator, told </w:t>
      </w:r>
      <w:r w:rsidR="00EE23F8" w:rsidRPr="006528C0">
        <w:rPr>
          <w:i/>
          <w:iCs/>
        </w:rPr>
        <w:t>Politico</w:t>
      </w:r>
      <w:r w:rsidR="00EE23F8">
        <w:t>, “</w:t>
      </w:r>
      <w:proofErr w:type="gramStart"/>
      <w:r w:rsidR="00EE23F8">
        <w:t>t</w:t>
      </w:r>
      <w:r w:rsidR="00EE23F8" w:rsidRPr="00EE23F8">
        <w:t>he</w:t>
      </w:r>
      <w:proofErr w:type="gramEnd"/>
      <w:r w:rsidR="00EE23F8" w:rsidRPr="00EE23F8">
        <w:t xml:space="preserve"> system is really designed for the middle class. It’s not designed to take care of pre-existing conditions.”</w:t>
      </w:r>
      <w:r w:rsidR="00494FBB">
        <w:rPr>
          <w:rStyle w:val="FootnoteReference"/>
        </w:rPr>
        <w:footnoteReference w:id="7"/>
      </w:r>
      <w:r w:rsidR="00EE23F8" w:rsidRPr="00EE23F8">
        <w:t xml:space="preserve"> </w:t>
      </w:r>
    </w:p>
    <w:p w:rsidR="001178C7" w:rsidRPr="001470E5" w:rsidRDefault="001415AD" w:rsidP="001178C7">
      <w:pPr>
        <w:spacing w:after="120"/>
        <w:rPr>
          <w:b/>
          <w:bCs/>
        </w:rPr>
      </w:pPr>
      <w:r w:rsidRPr="001415AD">
        <w:rPr>
          <w:b/>
          <w:bCs/>
        </w:rPr>
        <w:t xml:space="preserve">Economic downturns mean evictions—and suffering. </w:t>
      </w:r>
      <w:r w:rsidR="000E7A50">
        <w:t xml:space="preserve">Sadly, economic crises and federal responses </w:t>
      </w:r>
      <w:r w:rsidR="001470E5">
        <w:t xml:space="preserve">to them </w:t>
      </w:r>
      <w:r w:rsidR="000E7A50">
        <w:t>have similar outcomes.</w:t>
      </w:r>
      <w:r w:rsidR="00494BA2">
        <w:t xml:space="preserve"> </w:t>
      </w:r>
      <w:r w:rsidR="00D12FED">
        <w:t>Because low</w:t>
      </w:r>
      <w:r w:rsidR="0085745E">
        <w:t>-</w:t>
      </w:r>
      <w:r w:rsidR="00D12FED">
        <w:t xml:space="preserve">income households spend more of their income on housing, they are more vulnerable to eviction and the </w:t>
      </w:r>
      <w:r w:rsidR="003416C5">
        <w:t>follow-on</w:t>
      </w:r>
      <w:r w:rsidR="00D12FED">
        <w:t xml:space="preserve"> effects on health, employment</w:t>
      </w:r>
      <w:r w:rsidR="00970D91">
        <w:t>, and economic stability.</w:t>
      </w:r>
      <w:r w:rsidR="00913333">
        <w:rPr>
          <w:rStyle w:val="FootnoteReference"/>
        </w:rPr>
        <w:footnoteReference w:id="8"/>
      </w:r>
      <w:r w:rsidR="00970D91">
        <w:t xml:space="preserve"> </w:t>
      </w:r>
      <w:r w:rsidR="003416C5">
        <w:t xml:space="preserve">The 2007-08 recession and the current COVID-19 outbreak demonstrate that </w:t>
      </w:r>
      <w:r w:rsidR="003416C5" w:rsidRPr="00A020D7">
        <w:rPr>
          <w:i/>
          <w:iCs/>
        </w:rPr>
        <w:t>ad hoc</w:t>
      </w:r>
      <w:r w:rsidR="003416C5">
        <w:t xml:space="preserve"> policy responses developed after the onset of crisis are less ideal—a </w:t>
      </w:r>
      <w:proofErr w:type="spellStart"/>
      <w:r w:rsidR="003416C5">
        <w:t>preestablished</w:t>
      </w:r>
      <w:proofErr w:type="spellEnd"/>
      <w:r w:rsidR="003416C5">
        <w:t xml:space="preserve"> strategy is needed.</w:t>
      </w:r>
    </w:p>
    <w:p w:rsidR="006D1A27" w:rsidRPr="00A020D7" w:rsidRDefault="00A020D7" w:rsidP="001178C7">
      <w:pPr>
        <w:spacing w:after="120"/>
        <w:rPr>
          <w:b/>
          <w:bCs/>
        </w:rPr>
      </w:pPr>
      <w:r w:rsidRPr="00A020D7">
        <w:rPr>
          <w:b/>
          <w:bCs/>
        </w:rPr>
        <w:t xml:space="preserve">Toward a housing crisis relief framework. </w:t>
      </w:r>
      <w:r w:rsidR="00584474">
        <w:t>The Crisis Housing Assistance Program</w:t>
      </w:r>
      <w:r w:rsidR="004776DC">
        <w:t xml:space="preserve"> (CHAP)</w:t>
      </w:r>
      <w:r w:rsidR="00F8460E">
        <w:t xml:space="preserve"> builds on the principles of </w:t>
      </w:r>
      <w:r w:rsidR="00584474">
        <w:t>the previously piloted Disaster Housing Assistance Program (DHAP)</w:t>
      </w:r>
      <w:r w:rsidR="00B54A2C">
        <w:t xml:space="preserve">, </w:t>
      </w:r>
      <w:r w:rsidR="00F8460E">
        <w:lastRenderedPageBreak/>
        <w:t>which has been championed by low-income housing advocates.</w:t>
      </w:r>
      <w:r w:rsidR="00770557">
        <w:rPr>
          <w:rStyle w:val="FootnoteReference"/>
        </w:rPr>
        <w:footnoteReference w:id="9"/>
      </w:r>
      <w:r w:rsidR="00F8460E">
        <w:t xml:space="preserve"> </w:t>
      </w:r>
      <w:r w:rsidR="00681CF3">
        <w:br/>
      </w:r>
    </w:p>
    <w:p w:rsidR="006D1A27" w:rsidRDefault="00EA18A8" w:rsidP="001178C7">
      <w:pPr>
        <w:pStyle w:val="ListParagraph"/>
        <w:numPr>
          <w:ilvl w:val="0"/>
          <w:numId w:val="3"/>
        </w:numPr>
        <w:spacing w:after="120"/>
        <w:contextualSpacing w:val="0"/>
      </w:pPr>
      <w:r>
        <w:rPr>
          <w:b/>
          <w:bCs/>
        </w:rPr>
        <w:t xml:space="preserve">Provides </w:t>
      </w:r>
      <w:r w:rsidR="004338DB">
        <w:rPr>
          <w:b/>
          <w:bCs/>
        </w:rPr>
        <w:t>re</w:t>
      </w:r>
      <w:r w:rsidR="00D060A5">
        <w:rPr>
          <w:b/>
          <w:bCs/>
        </w:rPr>
        <w:t>ntal assistance</w:t>
      </w:r>
      <w:r>
        <w:rPr>
          <w:b/>
          <w:bCs/>
        </w:rPr>
        <w:t xml:space="preserve"> to everyone in need</w:t>
      </w:r>
      <w:r w:rsidR="006D1A27" w:rsidRPr="0045430E">
        <w:rPr>
          <w:b/>
          <w:bCs/>
        </w:rPr>
        <w:t>.</w:t>
      </w:r>
      <w:r w:rsidR="006D1A27">
        <w:t xml:space="preserve"> </w:t>
      </w:r>
      <w:r w:rsidR="002E2EF0">
        <w:t xml:space="preserve">CHAP </w:t>
      </w:r>
      <w:r w:rsidR="00036665">
        <w:t xml:space="preserve">will </w:t>
      </w:r>
      <w:r w:rsidR="00B71283">
        <w:t>provide temporary</w:t>
      </w:r>
      <w:r w:rsidR="00036665">
        <w:t xml:space="preserve"> Housing Choice </w:t>
      </w:r>
      <w:r w:rsidR="00D060A5">
        <w:t>Rental assistance</w:t>
      </w:r>
      <w:r w:rsidR="00036665">
        <w:t xml:space="preserve"> </w:t>
      </w:r>
      <w:r w:rsidR="00B71283">
        <w:t>to all eligible families</w:t>
      </w:r>
      <w:r w:rsidR="00036665">
        <w:t xml:space="preserve"> upon the state meeting one of two triggers</w:t>
      </w:r>
      <w:r w:rsidR="006D1A27">
        <w:t xml:space="preserve">. </w:t>
      </w:r>
    </w:p>
    <w:p w:rsidR="004555D9" w:rsidRDefault="004555D9" w:rsidP="001178C7">
      <w:pPr>
        <w:pStyle w:val="ListParagraph"/>
        <w:numPr>
          <w:ilvl w:val="1"/>
          <w:numId w:val="3"/>
        </w:numPr>
        <w:spacing w:after="120"/>
        <w:contextualSpacing w:val="0"/>
      </w:pPr>
      <w:r>
        <w:t xml:space="preserve">The </w:t>
      </w:r>
      <w:r w:rsidR="00D060A5">
        <w:t>rental assistance</w:t>
      </w:r>
      <w:r>
        <w:t xml:space="preserve"> will be available within a month of hitting a trigger. </w:t>
      </w:r>
    </w:p>
    <w:p w:rsidR="0058295E" w:rsidRPr="0058295E" w:rsidRDefault="0058295E" w:rsidP="001178C7">
      <w:pPr>
        <w:pStyle w:val="ListParagraph"/>
        <w:numPr>
          <w:ilvl w:val="1"/>
          <w:numId w:val="3"/>
        </w:numPr>
        <w:spacing w:after="120"/>
        <w:contextualSpacing w:val="0"/>
      </w:pPr>
      <w:r w:rsidRPr="0058295E">
        <w:t xml:space="preserve">The </w:t>
      </w:r>
      <w:r w:rsidR="00D060A5">
        <w:t>rental assistance</w:t>
      </w:r>
      <w:r w:rsidRPr="0058295E">
        <w:t xml:space="preserve"> are valid for two years</w:t>
      </w:r>
      <w:r>
        <w:t xml:space="preserve">, but can be expanded for an additional year. </w:t>
      </w:r>
    </w:p>
    <w:p w:rsidR="001F6F51" w:rsidRPr="001F6F51" w:rsidRDefault="001F6F51" w:rsidP="001F6F51">
      <w:pPr>
        <w:pStyle w:val="ListParagraph"/>
        <w:numPr>
          <w:ilvl w:val="0"/>
          <w:numId w:val="3"/>
        </w:numPr>
        <w:spacing w:after="120"/>
        <w:contextualSpacing w:val="0"/>
        <w:rPr>
          <w:b/>
          <w:bCs/>
        </w:rPr>
      </w:pPr>
      <w:r w:rsidRPr="001F6F51">
        <w:rPr>
          <w:b/>
          <w:bCs/>
        </w:rPr>
        <w:t>CHAP improves on DHAP.</w:t>
      </w:r>
      <w:r w:rsidRPr="001F6F51">
        <w:t xml:space="preserve"> A permanent, automatic trigger-based program, which will have all requirements in place ahead of time, will overcome past objections and ensure simple and timely assistance for people during crises while strengthening HUD’s role as the federal leading disaster recovery housing agency.</w:t>
      </w:r>
      <w:r w:rsidRPr="001F6F51">
        <w:rPr>
          <w:vertAlign w:val="superscript"/>
        </w:rPr>
        <w:footnoteReference w:id="10"/>
      </w:r>
      <w:r w:rsidRPr="001F6F51">
        <w:t xml:space="preserve"> </w:t>
      </w:r>
    </w:p>
    <w:p w:rsidR="001F6F51" w:rsidRPr="001F6F51" w:rsidRDefault="00D060A5" w:rsidP="001F6F51">
      <w:pPr>
        <w:pStyle w:val="ListParagraph"/>
        <w:numPr>
          <w:ilvl w:val="1"/>
          <w:numId w:val="3"/>
        </w:numPr>
        <w:spacing w:after="120"/>
        <w:contextualSpacing w:val="0"/>
        <w:rPr>
          <w:b/>
          <w:bCs/>
        </w:rPr>
      </w:pPr>
      <w:r>
        <w:t>Rental assistance</w:t>
      </w:r>
      <w:r w:rsidR="001F6F51" w:rsidRPr="001F6F51">
        <w:t>, which have an existing administrative framework, will be easier to deploy quickly than DHAP’s more variable rental assistance.</w:t>
      </w:r>
    </w:p>
    <w:p w:rsidR="00681CF3" w:rsidRPr="00681CF3" w:rsidRDefault="00982643" w:rsidP="001F6F51">
      <w:pPr>
        <w:pStyle w:val="ListParagraph"/>
        <w:numPr>
          <w:ilvl w:val="0"/>
          <w:numId w:val="3"/>
        </w:numPr>
        <w:spacing w:after="120"/>
        <w:contextualSpacing w:val="0"/>
      </w:pPr>
      <w:r w:rsidRPr="0045430E">
        <w:rPr>
          <w:b/>
          <w:bCs/>
        </w:rPr>
        <w:t xml:space="preserve">Disaster and unemployment triggers. </w:t>
      </w:r>
    </w:p>
    <w:p w:rsidR="00681CF3" w:rsidRDefault="00681CF3" w:rsidP="001F6F51">
      <w:pPr>
        <w:pStyle w:val="ListParagraph"/>
        <w:numPr>
          <w:ilvl w:val="1"/>
          <w:numId w:val="3"/>
        </w:numPr>
        <w:spacing w:after="120"/>
        <w:contextualSpacing w:val="0"/>
      </w:pPr>
      <w:r w:rsidRPr="00C80FBC">
        <w:rPr>
          <w:u w:val="single"/>
        </w:rPr>
        <w:t>Disaster</w:t>
      </w:r>
      <w:r>
        <w:t xml:space="preserve">: </w:t>
      </w:r>
      <w:r w:rsidRPr="00681CF3">
        <w:t xml:space="preserve">A major disaster declaration pursuant to the Stafford Act where Section 408 assistance is authorized. This trigger may be activated at the state level (if Section 408 is authorized in counties that contain a majority of the state’s residents) or the county level (in which case housing agencies that work in the county or have </w:t>
      </w:r>
      <w:r w:rsidR="00D060A5">
        <w:t>rental assistance</w:t>
      </w:r>
      <w:r w:rsidRPr="00681CF3">
        <w:t xml:space="preserve"> holders in the county shall receive funding or </w:t>
      </w:r>
      <w:r w:rsidR="00D060A5">
        <w:t>rental assistance</w:t>
      </w:r>
      <w:r w:rsidRPr="00681CF3">
        <w:t xml:space="preserve"> in the amount equal to the number of </w:t>
      </w:r>
      <w:r w:rsidR="00D060A5">
        <w:t>rental assistance</w:t>
      </w:r>
      <w:r w:rsidRPr="00681CF3">
        <w:t xml:space="preserve"> holders in the county).</w:t>
      </w:r>
    </w:p>
    <w:p w:rsidR="00982643" w:rsidRPr="00BA3C85" w:rsidRDefault="00681CF3" w:rsidP="001178C7">
      <w:pPr>
        <w:pStyle w:val="ListParagraph"/>
        <w:numPr>
          <w:ilvl w:val="1"/>
          <w:numId w:val="3"/>
        </w:numPr>
        <w:spacing w:after="120"/>
        <w:contextualSpacing w:val="0"/>
      </w:pPr>
      <w:r w:rsidRPr="00C80FBC">
        <w:rPr>
          <w:u w:val="single"/>
        </w:rPr>
        <w:t>Unemployment</w:t>
      </w:r>
      <w:r w:rsidRPr="00681CF3">
        <w:t xml:space="preserve">: An increase in the </w:t>
      </w:r>
      <w:r w:rsidR="00ED6A7C">
        <w:t>six</w:t>
      </w:r>
      <w:r w:rsidRPr="00681CF3">
        <w:t xml:space="preserve">-month moving average of the state unemployment rate by 0.5 percentage points or more relative to its low during the previous 12 months (the </w:t>
      </w:r>
      <w:proofErr w:type="spellStart"/>
      <w:r w:rsidRPr="00681CF3">
        <w:t>Sahm</w:t>
      </w:r>
      <w:proofErr w:type="spellEnd"/>
      <w:r w:rsidRPr="00681CF3">
        <w:t xml:space="preserve"> Rule).</w:t>
      </w:r>
      <w:r w:rsidRPr="00681CF3">
        <w:rPr>
          <w:vertAlign w:val="superscript"/>
        </w:rPr>
        <w:footnoteReference w:id="11"/>
      </w:r>
      <w:r w:rsidRPr="00681CF3">
        <w:t xml:space="preserve"> This trigger shall only be applicable at the state or tribal level.</w:t>
      </w:r>
    </w:p>
    <w:p w:rsidR="00D407BC" w:rsidRPr="00D407BC" w:rsidRDefault="005159D0" w:rsidP="001178C7">
      <w:pPr>
        <w:pStyle w:val="ListParagraph"/>
        <w:numPr>
          <w:ilvl w:val="0"/>
          <w:numId w:val="3"/>
        </w:numPr>
        <w:spacing w:after="120"/>
        <w:contextualSpacing w:val="0"/>
        <w:rPr>
          <w:b/>
          <w:bCs/>
        </w:rPr>
      </w:pPr>
      <w:r w:rsidRPr="00846706">
        <w:rPr>
          <w:b/>
          <w:bCs/>
        </w:rPr>
        <w:t xml:space="preserve">Leverages existing eligibility. </w:t>
      </w:r>
      <w:r w:rsidR="007C54EB">
        <w:t>E</w:t>
      </w:r>
      <w:r w:rsidR="00D75971">
        <w:t>ligibility is based on existing HUD rules and referral from FEMA.</w:t>
      </w:r>
      <w:r w:rsidR="009F7F0B">
        <w:rPr>
          <w:rStyle w:val="FootnoteReference"/>
        </w:rPr>
        <w:footnoteReference w:id="12"/>
      </w:r>
      <w:r w:rsidR="00D75971">
        <w:t xml:space="preserve"> </w:t>
      </w:r>
    </w:p>
    <w:p w:rsidR="00127F71" w:rsidRDefault="004560B8" w:rsidP="001178C7">
      <w:pPr>
        <w:pStyle w:val="ListParagraph"/>
        <w:numPr>
          <w:ilvl w:val="1"/>
          <w:numId w:val="3"/>
        </w:numPr>
        <w:spacing w:after="120"/>
        <w:contextualSpacing w:val="0"/>
      </w:pPr>
      <w:r w:rsidRPr="00BE68F1">
        <w:rPr>
          <w:u w:val="single"/>
        </w:rPr>
        <w:t xml:space="preserve">HUD </w:t>
      </w:r>
      <w:r w:rsidR="00D060A5">
        <w:rPr>
          <w:u w:val="single"/>
        </w:rPr>
        <w:t>rental assistance</w:t>
      </w:r>
      <w:r w:rsidRPr="00BE68F1">
        <w:rPr>
          <w:u w:val="single"/>
        </w:rPr>
        <w:t xml:space="preserve"> eligibility</w:t>
      </w:r>
      <w:r>
        <w:t xml:space="preserve">: </w:t>
      </w:r>
      <w:r w:rsidR="00B83DE2">
        <w:t>families with</w:t>
      </w:r>
      <w:r w:rsidR="00D407BC" w:rsidRPr="00D407BC">
        <w:t xml:space="preserve"> incomes up </w:t>
      </w:r>
      <w:r w:rsidR="00B54DF2">
        <w:t>to</w:t>
      </w:r>
      <w:r w:rsidR="00D407BC" w:rsidRPr="00D407BC">
        <w:t xml:space="preserve"> 80</w:t>
      </w:r>
      <w:r w:rsidR="0095613B">
        <w:t xml:space="preserve"> percent</w:t>
      </w:r>
      <w:r w:rsidR="00D407BC" w:rsidRPr="00D407BC">
        <w:t xml:space="preserve"> of the area median</w:t>
      </w:r>
      <w:r w:rsidR="00B83DE2">
        <w:t xml:space="preserve"> are eligible; the Secretary may waive or adjust the requirement that </w:t>
      </w:r>
      <w:r w:rsidR="00B83DE2" w:rsidRPr="00B83DE2">
        <w:t>75 percent of households must be below 30 percent of area median income or the poverty line;</w:t>
      </w:r>
    </w:p>
    <w:p w:rsidR="00E90A49" w:rsidRPr="00E90A49" w:rsidRDefault="00127F71" w:rsidP="001178C7">
      <w:pPr>
        <w:pStyle w:val="ListParagraph"/>
        <w:numPr>
          <w:ilvl w:val="1"/>
          <w:numId w:val="3"/>
        </w:numPr>
        <w:spacing w:after="120"/>
        <w:contextualSpacing w:val="0"/>
      </w:pPr>
      <w:r w:rsidRPr="00BE68F1">
        <w:rPr>
          <w:u w:val="single"/>
        </w:rPr>
        <w:t>FEMA referral</w:t>
      </w:r>
      <w:r>
        <w:t xml:space="preserve">: </w:t>
      </w:r>
      <w:r w:rsidR="00E90A49" w:rsidRPr="00E90A49">
        <w:t xml:space="preserve">households that have been deemed to require housing assistance by </w:t>
      </w:r>
      <w:r w:rsidR="00B33BEE">
        <w:t>FEMA</w:t>
      </w:r>
      <w:r w:rsidR="00E90A49" w:rsidRPr="00E90A49">
        <w:t xml:space="preserve"> pursuant to Section 408 of the Stafford Act. </w:t>
      </w:r>
    </w:p>
    <w:p w:rsidR="00141E25" w:rsidRDefault="00141E25" w:rsidP="001178C7">
      <w:pPr>
        <w:pStyle w:val="ListParagraph"/>
        <w:numPr>
          <w:ilvl w:val="0"/>
          <w:numId w:val="3"/>
        </w:numPr>
        <w:spacing w:after="120"/>
        <w:contextualSpacing w:val="0"/>
        <w:rPr>
          <w:b/>
          <w:bCs/>
        </w:rPr>
      </w:pPr>
      <w:r w:rsidRPr="00141E25">
        <w:rPr>
          <w:b/>
          <w:bCs/>
        </w:rPr>
        <w:t xml:space="preserve">Counseling will ensure participants can transition smoothly. </w:t>
      </w:r>
      <w:r w:rsidRPr="00141E25">
        <w:t>The program also includes</w:t>
      </w:r>
      <w:r w:rsidR="00EA18A8">
        <w:t xml:space="preserve"> support to help families find housing with the </w:t>
      </w:r>
      <w:r w:rsidR="00D060A5">
        <w:t>rental assistance</w:t>
      </w:r>
      <w:r w:rsidR="00EA18A8">
        <w:t xml:space="preserve"> and secure permanent housing after the </w:t>
      </w:r>
      <w:r w:rsidR="00D060A5">
        <w:t>rental assistance</w:t>
      </w:r>
      <w:r w:rsidR="00EA18A8">
        <w:t>’s expiration.</w:t>
      </w:r>
    </w:p>
    <w:p w:rsidR="003300C8" w:rsidRPr="0003402D" w:rsidRDefault="003300C8" w:rsidP="001178C7">
      <w:pPr>
        <w:pStyle w:val="ListParagraph"/>
        <w:numPr>
          <w:ilvl w:val="0"/>
          <w:numId w:val="3"/>
        </w:numPr>
        <w:spacing w:after="120"/>
        <w:contextualSpacing w:val="0"/>
        <w:rPr>
          <w:b/>
          <w:bCs/>
        </w:rPr>
      </w:pPr>
      <w:r w:rsidRPr="0003402D">
        <w:rPr>
          <w:b/>
          <w:bCs/>
        </w:rPr>
        <w:lastRenderedPageBreak/>
        <w:t xml:space="preserve">CHAP is available to states, tribal governments, and territories. </w:t>
      </w:r>
    </w:p>
    <w:p w:rsidR="003300C8" w:rsidRDefault="003300C8" w:rsidP="001178C7">
      <w:pPr>
        <w:pStyle w:val="ListParagraph"/>
        <w:numPr>
          <w:ilvl w:val="1"/>
          <w:numId w:val="3"/>
        </w:numPr>
        <w:spacing w:after="120"/>
        <w:contextualSpacing w:val="0"/>
      </w:pPr>
      <w:r w:rsidRPr="003300C8">
        <w:t>States include all territories and DC.</w:t>
      </w:r>
      <w:r>
        <w:t xml:space="preserve"> </w:t>
      </w:r>
    </w:p>
    <w:p w:rsidR="003300C8" w:rsidRPr="003300C8" w:rsidRDefault="003300C8" w:rsidP="001178C7">
      <w:pPr>
        <w:pStyle w:val="ListParagraph"/>
        <w:numPr>
          <w:ilvl w:val="1"/>
          <w:numId w:val="3"/>
        </w:numPr>
        <w:spacing w:after="120"/>
        <w:contextualSpacing w:val="0"/>
      </w:pPr>
      <w:r w:rsidRPr="003300C8">
        <w:t xml:space="preserve">Native American tribal governments have </w:t>
      </w:r>
      <w:r w:rsidR="0012711F">
        <w:t>three</w:t>
      </w:r>
      <w:r w:rsidRPr="003300C8">
        <w:t xml:space="preserve"> means of qualifying for the program:</w:t>
      </w:r>
    </w:p>
    <w:p w:rsidR="003300C8" w:rsidRPr="003300C8" w:rsidRDefault="003300C8" w:rsidP="001178C7">
      <w:pPr>
        <w:pStyle w:val="ListParagraph"/>
        <w:numPr>
          <w:ilvl w:val="2"/>
          <w:numId w:val="3"/>
        </w:numPr>
        <w:spacing w:after="120"/>
        <w:contextualSpacing w:val="0"/>
      </w:pPr>
      <w:r w:rsidRPr="003300C8">
        <w:t>Through a qualifying state;</w:t>
      </w:r>
    </w:p>
    <w:p w:rsidR="003300C8" w:rsidRPr="003300C8" w:rsidRDefault="003300C8" w:rsidP="001178C7">
      <w:pPr>
        <w:pStyle w:val="ListParagraph"/>
        <w:numPr>
          <w:ilvl w:val="2"/>
          <w:numId w:val="3"/>
        </w:numPr>
        <w:spacing w:after="120"/>
        <w:contextualSpacing w:val="0"/>
      </w:pPr>
      <w:r w:rsidRPr="003300C8">
        <w:t xml:space="preserve">On their own, via a Stafford Act declaration; or </w:t>
      </w:r>
    </w:p>
    <w:p w:rsidR="00450B53" w:rsidRPr="00E748BB" w:rsidRDefault="003300C8" w:rsidP="00E748BB">
      <w:pPr>
        <w:pStyle w:val="ListParagraph"/>
        <w:numPr>
          <w:ilvl w:val="2"/>
          <w:numId w:val="3"/>
        </w:numPr>
        <w:spacing w:after="120"/>
        <w:contextualSpacing w:val="0"/>
      </w:pPr>
      <w:r w:rsidRPr="003300C8">
        <w:t>On their own, through the unemployment trigger. The Secretary of HUD shall coordinate with the Secretaries of Labor and Interior to establish a proper mechanism to ensure reliable data</w:t>
      </w:r>
      <w:r w:rsidR="00B80EF4">
        <w:t>.</w:t>
      </w:r>
    </w:p>
    <w:sectPr w:rsidR="00450B53" w:rsidRPr="00E748BB" w:rsidSect="00053B2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8E6" w:rsidRDefault="00B348E6" w:rsidP="009B39DA">
      <w:r>
        <w:separator/>
      </w:r>
    </w:p>
  </w:endnote>
  <w:endnote w:type="continuationSeparator" w:id="0">
    <w:p w:rsidR="00B348E6" w:rsidRDefault="00B348E6" w:rsidP="009B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6840495"/>
      <w:docPartObj>
        <w:docPartGallery w:val="Page Numbers (Bottom of Page)"/>
        <w:docPartUnique/>
      </w:docPartObj>
    </w:sdtPr>
    <w:sdtEndPr>
      <w:rPr>
        <w:rStyle w:val="PageNumber"/>
      </w:rPr>
    </w:sdtEndPr>
    <w:sdtContent>
      <w:p w:rsidR="001B5DEB" w:rsidRDefault="001B5DEB" w:rsidP="00460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B5DEB" w:rsidRDefault="001B5DEB" w:rsidP="001B5D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7071517"/>
      <w:docPartObj>
        <w:docPartGallery w:val="Page Numbers (Bottom of Page)"/>
        <w:docPartUnique/>
      </w:docPartObj>
    </w:sdtPr>
    <w:sdtEndPr>
      <w:rPr>
        <w:rStyle w:val="PageNumber"/>
      </w:rPr>
    </w:sdtEndPr>
    <w:sdtContent>
      <w:p w:rsidR="001B5DEB" w:rsidRDefault="001B5DEB" w:rsidP="00460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A7A9F">
          <w:rPr>
            <w:rStyle w:val="PageNumber"/>
            <w:noProof/>
          </w:rPr>
          <w:t>3</w:t>
        </w:r>
        <w:r>
          <w:rPr>
            <w:rStyle w:val="PageNumber"/>
          </w:rPr>
          <w:fldChar w:fldCharType="end"/>
        </w:r>
      </w:p>
    </w:sdtContent>
  </w:sdt>
  <w:p w:rsidR="001B5DEB" w:rsidRDefault="001B5DEB" w:rsidP="001B5D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8E6" w:rsidRDefault="00B348E6" w:rsidP="009B39DA">
      <w:r>
        <w:separator/>
      </w:r>
    </w:p>
  </w:footnote>
  <w:footnote w:type="continuationSeparator" w:id="0">
    <w:p w:rsidR="00B348E6" w:rsidRDefault="00B348E6" w:rsidP="009B39DA">
      <w:r>
        <w:continuationSeparator/>
      </w:r>
    </w:p>
  </w:footnote>
  <w:footnote w:id="1">
    <w:p w:rsidR="00C17473" w:rsidRDefault="00C17473">
      <w:pPr>
        <w:pStyle w:val="FootnoteText"/>
      </w:pPr>
      <w:r>
        <w:rPr>
          <w:rStyle w:val="FootnoteReference"/>
        </w:rPr>
        <w:footnoteRef/>
      </w:r>
      <w:r>
        <w:t xml:space="preserve"> </w:t>
      </w:r>
      <w:hyperlink r:id="rId1" w:history="1">
        <w:r w:rsidR="00BE523E" w:rsidRPr="00BE523E">
          <w:rPr>
            <w:rStyle w:val="Hyperlink"/>
          </w:rPr>
          <w:t>https://www.jchs.harvard.edu/state-nations-housing-2019</w:t>
        </w:r>
      </w:hyperlink>
      <w:r w:rsidR="00BE523E">
        <w:t xml:space="preserve"> and </w:t>
      </w:r>
      <w:hyperlink r:id="rId2" w:history="1">
        <w:r w:rsidR="00BE523E" w:rsidRPr="00BE523E">
          <w:rPr>
            <w:rStyle w:val="Hyperlink"/>
          </w:rPr>
          <w:t>https://www.politifact.com/article/2019/dec/30/facts-housing-affordability-united-states/</w:t>
        </w:r>
      </w:hyperlink>
      <w:r w:rsidR="00BE523E">
        <w:t xml:space="preserve"> </w:t>
      </w:r>
      <w:proofErr w:type="spellStart"/>
      <w:r w:rsidR="00BE523E">
        <w:t>and</w:t>
      </w:r>
      <w:proofErr w:type="spellEnd"/>
      <w:r w:rsidR="00BE523E">
        <w:t xml:space="preserve"> </w:t>
      </w:r>
      <w:hyperlink r:id="rId3" w:history="1">
        <w:r w:rsidR="00BE523E" w:rsidRPr="00BE523E">
          <w:rPr>
            <w:rStyle w:val="Hyperlink"/>
          </w:rPr>
          <w:t>https://nlihc.org/explore-issues/why-we-care/problem</w:t>
        </w:r>
      </w:hyperlink>
      <w:r w:rsidR="00BE523E">
        <w:t xml:space="preserve"> and </w:t>
      </w:r>
      <w:hyperlink r:id="rId4" w:anchor="6e999551104b" w:history="1">
        <w:r w:rsidR="00BE523E" w:rsidRPr="00BE523E">
          <w:rPr>
            <w:rStyle w:val="Hyperlink"/>
          </w:rPr>
          <w:t>https://www.forbes.com/sites/brendarichardson/2019/01/31/americas-housing-affordability-crisis-only-getting-worse/#6e999551104b</w:t>
        </w:r>
      </w:hyperlink>
      <w:r w:rsidR="00BE523E">
        <w:t xml:space="preserve"> </w:t>
      </w:r>
      <w:proofErr w:type="spellStart"/>
      <w:r w:rsidR="00BE523E">
        <w:t>and</w:t>
      </w:r>
      <w:proofErr w:type="spellEnd"/>
      <w:r w:rsidR="00BE523E">
        <w:t xml:space="preserve"> </w:t>
      </w:r>
      <w:hyperlink r:id="rId5" w:history="1">
        <w:r w:rsidR="00BE523E" w:rsidRPr="00BE523E">
          <w:rPr>
            <w:rStyle w:val="Hyperlink"/>
          </w:rPr>
          <w:t>https://www.usatoday.com/story/opinion/2019/07/31/affordable-housing-solutions-pressure-congress-2020-candidates-column/1829177001/</w:t>
        </w:r>
      </w:hyperlink>
    </w:p>
  </w:footnote>
  <w:footnote w:id="2">
    <w:p w:rsidR="00BB7750" w:rsidRPr="00E85370" w:rsidRDefault="00BB7750" w:rsidP="00EE4A10">
      <w:pPr>
        <w:pStyle w:val="FootnoteText"/>
      </w:pPr>
      <w:r w:rsidRPr="00E85370">
        <w:rPr>
          <w:rStyle w:val="FootnoteReference"/>
        </w:rPr>
        <w:footnoteRef/>
      </w:r>
      <w:r w:rsidRPr="00E85370">
        <w:t xml:space="preserve"> </w:t>
      </w:r>
      <w:hyperlink r:id="rId6" w:history="1">
        <w:r w:rsidRPr="00E85370">
          <w:rPr>
            <w:rStyle w:val="Hyperlink"/>
          </w:rPr>
          <w:t>https://www.jchs.harvard.edu/blog/more-than-a-third-of-american-households-were-cost-burdened-last-year/</w:t>
        </w:r>
      </w:hyperlink>
    </w:p>
  </w:footnote>
  <w:footnote w:id="3">
    <w:p w:rsidR="00BB7750" w:rsidRDefault="00BB7750" w:rsidP="00EE4A10">
      <w:pPr>
        <w:pStyle w:val="FootnoteText"/>
      </w:pPr>
      <w:r>
        <w:rPr>
          <w:rStyle w:val="FootnoteReference"/>
        </w:rPr>
        <w:footnoteRef/>
      </w:r>
      <w:r>
        <w:t xml:space="preserve"> </w:t>
      </w:r>
      <w:hyperlink r:id="rId7" w:history="1">
        <w:r w:rsidRPr="00C46168">
          <w:rPr>
            <w:rStyle w:val="Hyperlink"/>
          </w:rPr>
          <w:t>https://www.washingtonpost.com/business/2019/09/18/surprising-holes-our-knowledge-americas-homeless-population/</w:t>
        </w:r>
      </w:hyperlink>
    </w:p>
  </w:footnote>
  <w:footnote w:id="4">
    <w:p w:rsidR="00DF50F9" w:rsidRDefault="00DF50F9">
      <w:pPr>
        <w:pStyle w:val="FootnoteText"/>
      </w:pPr>
      <w:r>
        <w:rPr>
          <w:rStyle w:val="FootnoteReference"/>
        </w:rPr>
        <w:footnoteRef/>
      </w:r>
      <w:r>
        <w:t xml:space="preserve"> </w:t>
      </w:r>
      <w:hyperlink r:id="rId8" w:history="1">
        <w:r w:rsidRPr="00DF50F9">
          <w:rPr>
            <w:rStyle w:val="Hyperlink"/>
          </w:rPr>
          <w:t>https://republicans-oversight.house.gov/wp-content/uploads/2018/10/Federal-Disaster-Response-and-Recovery-Report-1.pdf</w:t>
        </w:r>
      </w:hyperlink>
    </w:p>
  </w:footnote>
  <w:footnote w:id="5">
    <w:p w:rsidR="00DA4F7A" w:rsidRDefault="00DA4F7A">
      <w:pPr>
        <w:pStyle w:val="FootnoteText"/>
      </w:pPr>
      <w:r>
        <w:rPr>
          <w:rStyle w:val="FootnoteReference"/>
        </w:rPr>
        <w:footnoteRef/>
      </w:r>
      <w:r>
        <w:t xml:space="preserve"> </w:t>
      </w:r>
      <w:hyperlink r:id="rId9" w:history="1">
        <w:r w:rsidR="008D160C" w:rsidRPr="008D160C">
          <w:rPr>
            <w:rStyle w:val="Hyperlink"/>
          </w:rPr>
          <w:t>https://nlihc.org/sites/default/files/Rental-Assistance_Setting-The-Record.pdf</w:t>
        </w:r>
      </w:hyperlink>
    </w:p>
  </w:footnote>
  <w:footnote w:id="6">
    <w:p w:rsidR="008D160C" w:rsidRDefault="008D160C">
      <w:pPr>
        <w:pStyle w:val="FootnoteText"/>
      </w:pPr>
      <w:r>
        <w:rPr>
          <w:rStyle w:val="FootnoteReference"/>
        </w:rPr>
        <w:footnoteRef/>
      </w:r>
      <w:r>
        <w:t xml:space="preserve"> </w:t>
      </w:r>
      <w:hyperlink r:id="rId10" w:history="1">
        <w:r w:rsidR="006A669B" w:rsidRPr="006A669B">
          <w:rPr>
            <w:rStyle w:val="Hyperlink"/>
          </w:rPr>
          <w:t>https://nlihc.org/sites/default/files/Fixing-Americas-Broken-Disaster-Housing-Recovery-System_P1.pdf</w:t>
        </w:r>
      </w:hyperlink>
    </w:p>
  </w:footnote>
  <w:footnote w:id="7">
    <w:p w:rsidR="00494FBB" w:rsidRDefault="00494FBB">
      <w:pPr>
        <w:pStyle w:val="FootnoteText"/>
      </w:pPr>
      <w:r>
        <w:rPr>
          <w:rStyle w:val="FootnoteReference"/>
        </w:rPr>
        <w:footnoteRef/>
      </w:r>
      <w:r>
        <w:t xml:space="preserve"> </w:t>
      </w:r>
      <w:hyperlink r:id="rId11" w:history="1">
        <w:r w:rsidRPr="00494FBB">
          <w:rPr>
            <w:rStyle w:val="Hyperlink"/>
          </w:rPr>
          <w:t>https://www.politico.com/story/2018/05/29/houston-hurricane-harvey-fema-597912</w:t>
        </w:r>
      </w:hyperlink>
    </w:p>
  </w:footnote>
  <w:footnote w:id="8">
    <w:p w:rsidR="00913333" w:rsidRDefault="00913333">
      <w:pPr>
        <w:pStyle w:val="FootnoteText"/>
      </w:pPr>
      <w:r>
        <w:rPr>
          <w:rStyle w:val="FootnoteReference"/>
        </w:rPr>
        <w:footnoteRef/>
      </w:r>
      <w:r>
        <w:t xml:space="preserve"> </w:t>
      </w:r>
      <w:hyperlink r:id="rId12" w:history="1">
        <w:r w:rsidRPr="00913333">
          <w:rPr>
            <w:rStyle w:val="Hyperlink"/>
          </w:rPr>
          <w:t>https://scholar.harvard.edu/files/mdesmond/files/desmondkimbro.evictions.fallout.sf2015_2.pdf</w:t>
        </w:r>
      </w:hyperlink>
    </w:p>
  </w:footnote>
  <w:footnote w:id="9">
    <w:p w:rsidR="00770557" w:rsidRDefault="00770557">
      <w:pPr>
        <w:pStyle w:val="FootnoteText"/>
      </w:pPr>
      <w:r>
        <w:rPr>
          <w:rStyle w:val="FootnoteReference"/>
        </w:rPr>
        <w:footnoteRef/>
      </w:r>
      <w:r>
        <w:t xml:space="preserve"> </w:t>
      </w:r>
      <w:hyperlink r:id="rId13" w:history="1">
        <w:r w:rsidRPr="00770557">
          <w:rPr>
            <w:rStyle w:val="Hyperlink"/>
          </w:rPr>
          <w:t>https://nlihc.org/explore-issues/projects-campaigns/disaster-housing-recovery/policy</w:t>
        </w:r>
      </w:hyperlink>
    </w:p>
  </w:footnote>
  <w:footnote w:id="10">
    <w:p w:rsidR="001F6F51" w:rsidRDefault="001F6F51" w:rsidP="001F6F51">
      <w:pPr>
        <w:pStyle w:val="FootnoteText"/>
      </w:pPr>
      <w:r>
        <w:rPr>
          <w:rStyle w:val="FootnoteReference"/>
        </w:rPr>
        <w:footnoteRef/>
      </w:r>
      <w:r>
        <w:t xml:space="preserve"> </w:t>
      </w:r>
      <w:hyperlink r:id="rId14" w:history="1">
        <w:r w:rsidRPr="00DD0446">
          <w:rPr>
            <w:rStyle w:val="Hyperlink"/>
          </w:rPr>
          <w:t>https://nlihc.org/sites/default/files/DHAP_FEMA-answer.pdf</w:t>
        </w:r>
      </w:hyperlink>
      <w:r>
        <w:t xml:space="preserve"> and </w:t>
      </w:r>
      <w:hyperlink r:id="rId15" w:history="1">
        <w:r w:rsidRPr="009F04FA">
          <w:rPr>
            <w:rStyle w:val="Hyperlink"/>
          </w:rPr>
          <w:t>https://www.oig.dhs.gov/assets/Mgmt/OIG_11-102_Aug11.pdf</w:t>
        </w:r>
      </w:hyperlink>
      <w:r>
        <w:t xml:space="preserve"> and </w:t>
      </w:r>
      <w:hyperlink r:id="rId16" w:history="1">
        <w:r w:rsidRPr="00FB36CD">
          <w:rPr>
            <w:rStyle w:val="Hyperlink"/>
          </w:rPr>
          <w:t>https://nlihc.org/sites/default/files/DAHP-Program.pdf</w:t>
        </w:r>
      </w:hyperlink>
    </w:p>
  </w:footnote>
  <w:footnote w:id="11">
    <w:p w:rsidR="00681CF3" w:rsidRDefault="00681CF3" w:rsidP="00681CF3">
      <w:pPr>
        <w:pStyle w:val="FootnoteText"/>
      </w:pPr>
      <w:r>
        <w:rPr>
          <w:rStyle w:val="FootnoteReference"/>
        </w:rPr>
        <w:footnoteRef/>
      </w:r>
      <w:hyperlink r:id="rId17" w:anchor=":~:text=The%20Sahm%20Rule%20identifies%20signals,during%20the%20previous%2012%20months." w:history="1">
        <w:r w:rsidR="00141E25" w:rsidRPr="00460C9C">
          <w:rPr>
            <w:rStyle w:val="Hyperlink"/>
          </w:rPr>
          <w:t>https://fred.stlouisfed.org/release?rid=456#:~:text=The%20Sahm%20Rule%20identifies%20signals,during%20the%20previous%2012%20months.</w:t>
        </w:r>
      </w:hyperlink>
    </w:p>
  </w:footnote>
  <w:footnote w:id="12">
    <w:p w:rsidR="009F7F0B" w:rsidRDefault="009F7F0B">
      <w:pPr>
        <w:pStyle w:val="FootnoteText"/>
      </w:pPr>
      <w:r>
        <w:rPr>
          <w:rStyle w:val="FootnoteReference"/>
        </w:rPr>
        <w:footnoteRef/>
      </w:r>
      <w:r>
        <w:t xml:space="preserve"> </w:t>
      </w:r>
      <w:hyperlink r:id="rId18" w:history="1">
        <w:r w:rsidR="00D407BC" w:rsidRPr="00460C9C">
          <w:rPr>
            <w:rStyle w:val="Hyperlink"/>
          </w:rPr>
          <w:t>https://www.cbpp.org/research/housing/policy-basics-the-housing-choice-</w:t>
        </w:r>
        <w:r w:rsidR="00D060A5">
          <w:rPr>
            <w:rStyle w:val="Hyperlink"/>
          </w:rPr>
          <w:t>rental assistance</w:t>
        </w:r>
        <w:r w:rsidR="00D407BC" w:rsidRPr="00460C9C">
          <w:rPr>
            <w:rStyle w:val="Hyperlink"/>
          </w:rPr>
          <w:t>-program</w:t>
        </w:r>
      </w:hyperlink>
      <w:r w:rsidR="006D1A2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776"/>
    <w:multiLevelType w:val="hybridMultilevel"/>
    <w:tmpl w:val="E5988274"/>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C36E8B"/>
    <w:multiLevelType w:val="hybridMultilevel"/>
    <w:tmpl w:val="39F60834"/>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E4306"/>
    <w:multiLevelType w:val="hybridMultilevel"/>
    <w:tmpl w:val="1F4864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xNTQ0sDQ1NzKwMLVU0lEKTi0uzszPAykwrAUAybeQmiwAAAA="/>
  </w:docVars>
  <w:rsids>
    <w:rsidRoot w:val="00304D58"/>
    <w:rsid w:val="0000450D"/>
    <w:rsid w:val="000212D4"/>
    <w:rsid w:val="00024EB6"/>
    <w:rsid w:val="0003402D"/>
    <w:rsid w:val="00036665"/>
    <w:rsid w:val="00053B27"/>
    <w:rsid w:val="00065149"/>
    <w:rsid w:val="000B4203"/>
    <w:rsid w:val="000C2005"/>
    <w:rsid w:val="000D1BBE"/>
    <w:rsid w:val="000E2B96"/>
    <w:rsid w:val="000E7A50"/>
    <w:rsid w:val="000F30D3"/>
    <w:rsid w:val="00105104"/>
    <w:rsid w:val="00114D25"/>
    <w:rsid w:val="001178C7"/>
    <w:rsid w:val="0012711F"/>
    <w:rsid w:val="00127F71"/>
    <w:rsid w:val="00132C53"/>
    <w:rsid w:val="001415AD"/>
    <w:rsid w:val="00141E25"/>
    <w:rsid w:val="001470E5"/>
    <w:rsid w:val="001522C8"/>
    <w:rsid w:val="00165BE4"/>
    <w:rsid w:val="00173493"/>
    <w:rsid w:val="0017669D"/>
    <w:rsid w:val="00177A91"/>
    <w:rsid w:val="001B453A"/>
    <w:rsid w:val="001B5DEB"/>
    <w:rsid w:val="001C78C6"/>
    <w:rsid w:val="001D14F8"/>
    <w:rsid w:val="001D1E5C"/>
    <w:rsid w:val="001F3379"/>
    <w:rsid w:val="001F6F51"/>
    <w:rsid w:val="0028333A"/>
    <w:rsid w:val="002A35D3"/>
    <w:rsid w:val="002C0518"/>
    <w:rsid w:val="002E2EF0"/>
    <w:rsid w:val="002F5DA3"/>
    <w:rsid w:val="00304D58"/>
    <w:rsid w:val="003300C8"/>
    <w:rsid w:val="00333826"/>
    <w:rsid w:val="003416C5"/>
    <w:rsid w:val="00352A99"/>
    <w:rsid w:val="0035415A"/>
    <w:rsid w:val="00360B3A"/>
    <w:rsid w:val="003650B2"/>
    <w:rsid w:val="00371820"/>
    <w:rsid w:val="00376BC7"/>
    <w:rsid w:val="003C2FB6"/>
    <w:rsid w:val="003E01D2"/>
    <w:rsid w:val="003F64A7"/>
    <w:rsid w:val="004041E8"/>
    <w:rsid w:val="00416B0A"/>
    <w:rsid w:val="004338DB"/>
    <w:rsid w:val="0044539D"/>
    <w:rsid w:val="00445D02"/>
    <w:rsid w:val="00450B53"/>
    <w:rsid w:val="0045430E"/>
    <w:rsid w:val="004555D9"/>
    <w:rsid w:val="004560B8"/>
    <w:rsid w:val="00467F93"/>
    <w:rsid w:val="004776DC"/>
    <w:rsid w:val="00480A88"/>
    <w:rsid w:val="00486704"/>
    <w:rsid w:val="00494BA2"/>
    <w:rsid w:val="00494FBB"/>
    <w:rsid w:val="004953E4"/>
    <w:rsid w:val="004972C5"/>
    <w:rsid w:val="004A3E1E"/>
    <w:rsid w:val="004B4ED2"/>
    <w:rsid w:val="004C2420"/>
    <w:rsid w:val="004C69BD"/>
    <w:rsid w:val="004C6C1D"/>
    <w:rsid w:val="004F3584"/>
    <w:rsid w:val="00501B16"/>
    <w:rsid w:val="005159D0"/>
    <w:rsid w:val="00542895"/>
    <w:rsid w:val="005670C5"/>
    <w:rsid w:val="0058295E"/>
    <w:rsid w:val="00584474"/>
    <w:rsid w:val="005D1834"/>
    <w:rsid w:val="00607065"/>
    <w:rsid w:val="0061501E"/>
    <w:rsid w:val="00634585"/>
    <w:rsid w:val="00635DA8"/>
    <w:rsid w:val="006528C0"/>
    <w:rsid w:val="00681CF3"/>
    <w:rsid w:val="006A1306"/>
    <w:rsid w:val="006A18A4"/>
    <w:rsid w:val="006A669B"/>
    <w:rsid w:val="006A7A9F"/>
    <w:rsid w:val="006B18F2"/>
    <w:rsid w:val="006B6C99"/>
    <w:rsid w:val="006D1A27"/>
    <w:rsid w:val="006D651F"/>
    <w:rsid w:val="00704119"/>
    <w:rsid w:val="00705309"/>
    <w:rsid w:val="0073690D"/>
    <w:rsid w:val="00752F9B"/>
    <w:rsid w:val="00761544"/>
    <w:rsid w:val="00764D19"/>
    <w:rsid w:val="00770557"/>
    <w:rsid w:val="007723C0"/>
    <w:rsid w:val="007755EF"/>
    <w:rsid w:val="007C54EB"/>
    <w:rsid w:val="007E09EB"/>
    <w:rsid w:val="00803527"/>
    <w:rsid w:val="00807F0B"/>
    <w:rsid w:val="00824DAB"/>
    <w:rsid w:val="00834CE8"/>
    <w:rsid w:val="00846706"/>
    <w:rsid w:val="00850A42"/>
    <w:rsid w:val="0085745E"/>
    <w:rsid w:val="008754DD"/>
    <w:rsid w:val="008C1D4D"/>
    <w:rsid w:val="008C2F35"/>
    <w:rsid w:val="008D160C"/>
    <w:rsid w:val="008E582C"/>
    <w:rsid w:val="008F2A0A"/>
    <w:rsid w:val="008F3BF7"/>
    <w:rsid w:val="008F48A4"/>
    <w:rsid w:val="009037C8"/>
    <w:rsid w:val="00913333"/>
    <w:rsid w:val="00923E21"/>
    <w:rsid w:val="0095613B"/>
    <w:rsid w:val="00970344"/>
    <w:rsid w:val="00970D91"/>
    <w:rsid w:val="00982643"/>
    <w:rsid w:val="009872A2"/>
    <w:rsid w:val="009B39DA"/>
    <w:rsid w:val="009D5672"/>
    <w:rsid w:val="009D74E6"/>
    <w:rsid w:val="009E5909"/>
    <w:rsid w:val="009F04FA"/>
    <w:rsid w:val="009F231D"/>
    <w:rsid w:val="009F7F0B"/>
    <w:rsid w:val="00A020D7"/>
    <w:rsid w:val="00A220A4"/>
    <w:rsid w:val="00A309C3"/>
    <w:rsid w:val="00AA44C9"/>
    <w:rsid w:val="00AF70C9"/>
    <w:rsid w:val="00B07587"/>
    <w:rsid w:val="00B33BEE"/>
    <w:rsid w:val="00B348E6"/>
    <w:rsid w:val="00B47961"/>
    <w:rsid w:val="00B53F07"/>
    <w:rsid w:val="00B54A2C"/>
    <w:rsid w:val="00B54DF2"/>
    <w:rsid w:val="00B71283"/>
    <w:rsid w:val="00B755EB"/>
    <w:rsid w:val="00B80EF4"/>
    <w:rsid w:val="00B83DE2"/>
    <w:rsid w:val="00B84FA1"/>
    <w:rsid w:val="00BA3C85"/>
    <w:rsid w:val="00BA5E7B"/>
    <w:rsid w:val="00BB7750"/>
    <w:rsid w:val="00BC30B9"/>
    <w:rsid w:val="00BC3AAA"/>
    <w:rsid w:val="00BE523E"/>
    <w:rsid w:val="00BE68F1"/>
    <w:rsid w:val="00BF162A"/>
    <w:rsid w:val="00BF56AA"/>
    <w:rsid w:val="00C17473"/>
    <w:rsid w:val="00C473AD"/>
    <w:rsid w:val="00C53165"/>
    <w:rsid w:val="00C62016"/>
    <w:rsid w:val="00C80FBC"/>
    <w:rsid w:val="00C95DCD"/>
    <w:rsid w:val="00D060A5"/>
    <w:rsid w:val="00D07031"/>
    <w:rsid w:val="00D12FED"/>
    <w:rsid w:val="00D2099D"/>
    <w:rsid w:val="00D3341B"/>
    <w:rsid w:val="00D33FAC"/>
    <w:rsid w:val="00D407BC"/>
    <w:rsid w:val="00D72344"/>
    <w:rsid w:val="00D75971"/>
    <w:rsid w:val="00D80D65"/>
    <w:rsid w:val="00DA4F7A"/>
    <w:rsid w:val="00DC11E5"/>
    <w:rsid w:val="00DD0446"/>
    <w:rsid w:val="00DF0C70"/>
    <w:rsid w:val="00DF50F9"/>
    <w:rsid w:val="00DF754F"/>
    <w:rsid w:val="00E150E8"/>
    <w:rsid w:val="00E475EF"/>
    <w:rsid w:val="00E57AE6"/>
    <w:rsid w:val="00E60A41"/>
    <w:rsid w:val="00E748BB"/>
    <w:rsid w:val="00E75618"/>
    <w:rsid w:val="00E7629B"/>
    <w:rsid w:val="00E90A49"/>
    <w:rsid w:val="00EA18A8"/>
    <w:rsid w:val="00ED4E12"/>
    <w:rsid w:val="00ED6A7C"/>
    <w:rsid w:val="00ED6A92"/>
    <w:rsid w:val="00EE23F8"/>
    <w:rsid w:val="00EE4A10"/>
    <w:rsid w:val="00F01120"/>
    <w:rsid w:val="00F33B22"/>
    <w:rsid w:val="00F35105"/>
    <w:rsid w:val="00F50E17"/>
    <w:rsid w:val="00F8460E"/>
    <w:rsid w:val="00F93841"/>
    <w:rsid w:val="00FB0691"/>
    <w:rsid w:val="00FB24FF"/>
    <w:rsid w:val="00FB36CD"/>
    <w:rsid w:val="00FB4DA6"/>
    <w:rsid w:val="00FC5675"/>
    <w:rsid w:val="00FE2008"/>
    <w:rsid w:val="00FF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1F00"/>
  <w15:chartTrackingRefBased/>
  <w15:docId w15:val="{CC14697F-6767-1D40-8AA8-28A439D6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F0B"/>
    <w:pPr>
      <w:ind w:left="720"/>
      <w:contextualSpacing/>
    </w:pPr>
  </w:style>
  <w:style w:type="paragraph" w:styleId="EndnoteText">
    <w:name w:val="endnote text"/>
    <w:basedOn w:val="Normal"/>
    <w:link w:val="EndnoteTextChar"/>
    <w:uiPriority w:val="99"/>
    <w:semiHidden/>
    <w:unhideWhenUsed/>
    <w:rsid w:val="009B39DA"/>
    <w:rPr>
      <w:sz w:val="20"/>
      <w:szCs w:val="20"/>
    </w:rPr>
  </w:style>
  <w:style w:type="character" w:customStyle="1" w:styleId="EndnoteTextChar">
    <w:name w:val="Endnote Text Char"/>
    <w:basedOn w:val="DefaultParagraphFont"/>
    <w:link w:val="EndnoteText"/>
    <w:uiPriority w:val="99"/>
    <w:semiHidden/>
    <w:rsid w:val="009B39DA"/>
    <w:rPr>
      <w:sz w:val="20"/>
      <w:szCs w:val="20"/>
    </w:rPr>
  </w:style>
  <w:style w:type="character" w:styleId="Hyperlink">
    <w:name w:val="Hyperlink"/>
    <w:basedOn w:val="DefaultParagraphFont"/>
    <w:uiPriority w:val="99"/>
    <w:unhideWhenUsed/>
    <w:rsid w:val="009B39DA"/>
    <w:rPr>
      <w:color w:val="0563C1" w:themeColor="hyperlink"/>
      <w:u w:val="single"/>
    </w:rPr>
  </w:style>
  <w:style w:type="character" w:styleId="EndnoteReference">
    <w:name w:val="endnote reference"/>
    <w:basedOn w:val="DefaultParagraphFont"/>
    <w:uiPriority w:val="99"/>
    <w:semiHidden/>
    <w:unhideWhenUsed/>
    <w:rsid w:val="009B39DA"/>
    <w:rPr>
      <w:vertAlign w:val="superscript"/>
    </w:rPr>
  </w:style>
  <w:style w:type="paragraph" w:styleId="FootnoteText">
    <w:name w:val="footnote text"/>
    <w:basedOn w:val="Normal"/>
    <w:link w:val="FootnoteTextChar"/>
    <w:uiPriority w:val="99"/>
    <w:semiHidden/>
    <w:unhideWhenUsed/>
    <w:rsid w:val="009B39DA"/>
    <w:rPr>
      <w:sz w:val="20"/>
      <w:szCs w:val="20"/>
    </w:rPr>
  </w:style>
  <w:style w:type="character" w:customStyle="1" w:styleId="FootnoteTextChar">
    <w:name w:val="Footnote Text Char"/>
    <w:basedOn w:val="DefaultParagraphFont"/>
    <w:link w:val="FootnoteText"/>
    <w:uiPriority w:val="99"/>
    <w:semiHidden/>
    <w:rsid w:val="009B39DA"/>
    <w:rPr>
      <w:sz w:val="20"/>
      <w:szCs w:val="20"/>
    </w:rPr>
  </w:style>
  <w:style w:type="character" w:styleId="FootnoteReference">
    <w:name w:val="footnote reference"/>
    <w:basedOn w:val="DefaultParagraphFont"/>
    <w:uiPriority w:val="99"/>
    <w:semiHidden/>
    <w:unhideWhenUsed/>
    <w:rsid w:val="009B39DA"/>
    <w:rPr>
      <w:vertAlign w:val="superscript"/>
    </w:rPr>
  </w:style>
  <w:style w:type="character" w:customStyle="1" w:styleId="UnresolvedMention">
    <w:name w:val="Unresolved Mention"/>
    <w:basedOn w:val="DefaultParagraphFont"/>
    <w:uiPriority w:val="99"/>
    <w:semiHidden/>
    <w:unhideWhenUsed/>
    <w:rsid w:val="009B39DA"/>
    <w:rPr>
      <w:color w:val="605E5C"/>
      <w:shd w:val="clear" w:color="auto" w:fill="E1DFDD"/>
    </w:rPr>
  </w:style>
  <w:style w:type="paragraph" w:styleId="BalloonText">
    <w:name w:val="Balloon Text"/>
    <w:basedOn w:val="Normal"/>
    <w:link w:val="BalloonTextChar"/>
    <w:uiPriority w:val="99"/>
    <w:semiHidden/>
    <w:unhideWhenUsed/>
    <w:rsid w:val="00EE4A10"/>
    <w:rPr>
      <w:sz w:val="18"/>
      <w:szCs w:val="18"/>
    </w:rPr>
  </w:style>
  <w:style w:type="character" w:customStyle="1" w:styleId="BalloonTextChar">
    <w:name w:val="Balloon Text Char"/>
    <w:basedOn w:val="DefaultParagraphFont"/>
    <w:link w:val="BalloonText"/>
    <w:uiPriority w:val="99"/>
    <w:semiHidden/>
    <w:rsid w:val="00EE4A10"/>
    <w:rPr>
      <w:sz w:val="18"/>
      <w:szCs w:val="18"/>
    </w:rPr>
  </w:style>
  <w:style w:type="character" w:styleId="CommentReference">
    <w:name w:val="annotation reference"/>
    <w:basedOn w:val="DefaultParagraphFont"/>
    <w:uiPriority w:val="99"/>
    <w:semiHidden/>
    <w:unhideWhenUsed/>
    <w:rsid w:val="00EE4A10"/>
    <w:rPr>
      <w:sz w:val="16"/>
      <w:szCs w:val="16"/>
    </w:rPr>
  </w:style>
  <w:style w:type="paragraph" w:styleId="CommentText">
    <w:name w:val="annotation text"/>
    <w:basedOn w:val="Normal"/>
    <w:link w:val="CommentTextChar"/>
    <w:uiPriority w:val="99"/>
    <w:unhideWhenUsed/>
    <w:rsid w:val="00EE4A1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E4A10"/>
    <w:rPr>
      <w:rFonts w:asciiTheme="minorHAnsi" w:hAnsiTheme="minorHAnsi" w:cstheme="minorBidi"/>
      <w:sz w:val="20"/>
      <w:szCs w:val="20"/>
    </w:rPr>
  </w:style>
  <w:style w:type="paragraph" w:styleId="NormalWeb">
    <w:name w:val="Normal (Web)"/>
    <w:basedOn w:val="Normal"/>
    <w:uiPriority w:val="99"/>
    <w:semiHidden/>
    <w:unhideWhenUsed/>
    <w:rsid w:val="00EE23F8"/>
  </w:style>
  <w:style w:type="paragraph" w:styleId="Footer">
    <w:name w:val="footer"/>
    <w:basedOn w:val="Normal"/>
    <w:link w:val="FooterChar"/>
    <w:uiPriority w:val="99"/>
    <w:unhideWhenUsed/>
    <w:rsid w:val="001B5DEB"/>
    <w:pPr>
      <w:tabs>
        <w:tab w:val="center" w:pos="4680"/>
        <w:tab w:val="right" w:pos="9360"/>
      </w:tabs>
    </w:pPr>
  </w:style>
  <w:style w:type="character" w:customStyle="1" w:styleId="FooterChar">
    <w:name w:val="Footer Char"/>
    <w:basedOn w:val="DefaultParagraphFont"/>
    <w:link w:val="Footer"/>
    <w:uiPriority w:val="99"/>
    <w:rsid w:val="001B5DEB"/>
  </w:style>
  <w:style w:type="character" w:styleId="PageNumber">
    <w:name w:val="page number"/>
    <w:basedOn w:val="DefaultParagraphFont"/>
    <w:uiPriority w:val="99"/>
    <w:semiHidden/>
    <w:unhideWhenUsed/>
    <w:rsid w:val="001B5DEB"/>
  </w:style>
  <w:style w:type="character" w:styleId="FollowedHyperlink">
    <w:name w:val="FollowedHyperlink"/>
    <w:basedOn w:val="DefaultParagraphFont"/>
    <w:uiPriority w:val="99"/>
    <w:semiHidden/>
    <w:unhideWhenUsed/>
    <w:rsid w:val="004F35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61">
      <w:bodyDiv w:val="1"/>
      <w:marLeft w:val="0"/>
      <w:marRight w:val="0"/>
      <w:marTop w:val="0"/>
      <w:marBottom w:val="0"/>
      <w:divBdr>
        <w:top w:val="none" w:sz="0" w:space="0" w:color="auto"/>
        <w:left w:val="none" w:sz="0" w:space="0" w:color="auto"/>
        <w:bottom w:val="none" w:sz="0" w:space="0" w:color="auto"/>
        <w:right w:val="none" w:sz="0" w:space="0" w:color="auto"/>
      </w:divBdr>
    </w:div>
    <w:div w:id="212235407">
      <w:bodyDiv w:val="1"/>
      <w:marLeft w:val="0"/>
      <w:marRight w:val="0"/>
      <w:marTop w:val="0"/>
      <w:marBottom w:val="0"/>
      <w:divBdr>
        <w:top w:val="none" w:sz="0" w:space="0" w:color="auto"/>
        <w:left w:val="none" w:sz="0" w:space="0" w:color="auto"/>
        <w:bottom w:val="none" w:sz="0" w:space="0" w:color="auto"/>
        <w:right w:val="none" w:sz="0" w:space="0" w:color="auto"/>
      </w:divBdr>
    </w:div>
    <w:div w:id="405148205">
      <w:bodyDiv w:val="1"/>
      <w:marLeft w:val="0"/>
      <w:marRight w:val="0"/>
      <w:marTop w:val="0"/>
      <w:marBottom w:val="0"/>
      <w:divBdr>
        <w:top w:val="none" w:sz="0" w:space="0" w:color="auto"/>
        <w:left w:val="none" w:sz="0" w:space="0" w:color="auto"/>
        <w:bottom w:val="none" w:sz="0" w:space="0" w:color="auto"/>
        <w:right w:val="none" w:sz="0" w:space="0" w:color="auto"/>
      </w:divBdr>
    </w:div>
    <w:div w:id="428820630">
      <w:bodyDiv w:val="1"/>
      <w:marLeft w:val="0"/>
      <w:marRight w:val="0"/>
      <w:marTop w:val="0"/>
      <w:marBottom w:val="0"/>
      <w:divBdr>
        <w:top w:val="none" w:sz="0" w:space="0" w:color="auto"/>
        <w:left w:val="none" w:sz="0" w:space="0" w:color="auto"/>
        <w:bottom w:val="none" w:sz="0" w:space="0" w:color="auto"/>
        <w:right w:val="none" w:sz="0" w:space="0" w:color="auto"/>
      </w:divBdr>
      <w:divsChild>
        <w:div w:id="1257596462">
          <w:marLeft w:val="0"/>
          <w:marRight w:val="0"/>
          <w:marTop w:val="0"/>
          <w:marBottom w:val="0"/>
          <w:divBdr>
            <w:top w:val="none" w:sz="0" w:space="0" w:color="auto"/>
            <w:left w:val="none" w:sz="0" w:space="0" w:color="auto"/>
            <w:bottom w:val="none" w:sz="0" w:space="0" w:color="auto"/>
            <w:right w:val="none" w:sz="0" w:space="0" w:color="auto"/>
          </w:divBdr>
          <w:divsChild>
            <w:div w:id="1622375241">
              <w:marLeft w:val="0"/>
              <w:marRight w:val="0"/>
              <w:marTop w:val="0"/>
              <w:marBottom w:val="0"/>
              <w:divBdr>
                <w:top w:val="none" w:sz="0" w:space="0" w:color="auto"/>
                <w:left w:val="none" w:sz="0" w:space="0" w:color="auto"/>
                <w:bottom w:val="none" w:sz="0" w:space="0" w:color="auto"/>
                <w:right w:val="none" w:sz="0" w:space="0" w:color="auto"/>
              </w:divBdr>
              <w:divsChild>
                <w:div w:id="1895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4320">
      <w:bodyDiv w:val="1"/>
      <w:marLeft w:val="0"/>
      <w:marRight w:val="0"/>
      <w:marTop w:val="0"/>
      <w:marBottom w:val="0"/>
      <w:divBdr>
        <w:top w:val="none" w:sz="0" w:space="0" w:color="auto"/>
        <w:left w:val="none" w:sz="0" w:space="0" w:color="auto"/>
        <w:bottom w:val="none" w:sz="0" w:space="0" w:color="auto"/>
        <w:right w:val="none" w:sz="0" w:space="0" w:color="auto"/>
      </w:divBdr>
    </w:div>
    <w:div w:id="518155233">
      <w:bodyDiv w:val="1"/>
      <w:marLeft w:val="0"/>
      <w:marRight w:val="0"/>
      <w:marTop w:val="0"/>
      <w:marBottom w:val="0"/>
      <w:divBdr>
        <w:top w:val="none" w:sz="0" w:space="0" w:color="auto"/>
        <w:left w:val="none" w:sz="0" w:space="0" w:color="auto"/>
        <w:bottom w:val="none" w:sz="0" w:space="0" w:color="auto"/>
        <w:right w:val="none" w:sz="0" w:space="0" w:color="auto"/>
      </w:divBdr>
    </w:div>
    <w:div w:id="631715704">
      <w:bodyDiv w:val="1"/>
      <w:marLeft w:val="0"/>
      <w:marRight w:val="0"/>
      <w:marTop w:val="0"/>
      <w:marBottom w:val="0"/>
      <w:divBdr>
        <w:top w:val="none" w:sz="0" w:space="0" w:color="auto"/>
        <w:left w:val="none" w:sz="0" w:space="0" w:color="auto"/>
        <w:bottom w:val="none" w:sz="0" w:space="0" w:color="auto"/>
        <w:right w:val="none" w:sz="0" w:space="0" w:color="auto"/>
      </w:divBdr>
    </w:div>
    <w:div w:id="669135435">
      <w:bodyDiv w:val="1"/>
      <w:marLeft w:val="0"/>
      <w:marRight w:val="0"/>
      <w:marTop w:val="0"/>
      <w:marBottom w:val="0"/>
      <w:divBdr>
        <w:top w:val="none" w:sz="0" w:space="0" w:color="auto"/>
        <w:left w:val="none" w:sz="0" w:space="0" w:color="auto"/>
        <w:bottom w:val="none" w:sz="0" w:space="0" w:color="auto"/>
        <w:right w:val="none" w:sz="0" w:space="0" w:color="auto"/>
      </w:divBdr>
    </w:div>
    <w:div w:id="798382862">
      <w:bodyDiv w:val="1"/>
      <w:marLeft w:val="0"/>
      <w:marRight w:val="0"/>
      <w:marTop w:val="0"/>
      <w:marBottom w:val="0"/>
      <w:divBdr>
        <w:top w:val="none" w:sz="0" w:space="0" w:color="auto"/>
        <w:left w:val="none" w:sz="0" w:space="0" w:color="auto"/>
        <w:bottom w:val="none" w:sz="0" w:space="0" w:color="auto"/>
        <w:right w:val="none" w:sz="0" w:space="0" w:color="auto"/>
      </w:divBdr>
    </w:div>
    <w:div w:id="945161974">
      <w:bodyDiv w:val="1"/>
      <w:marLeft w:val="0"/>
      <w:marRight w:val="0"/>
      <w:marTop w:val="0"/>
      <w:marBottom w:val="0"/>
      <w:divBdr>
        <w:top w:val="none" w:sz="0" w:space="0" w:color="auto"/>
        <w:left w:val="none" w:sz="0" w:space="0" w:color="auto"/>
        <w:bottom w:val="none" w:sz="0" w:space="0" w:color="auto"/>
        <w:right w:val="none" w:sz="0" w:space="0" w:color="auto"/>
      </w:divBdr>
    </w:div>
    <w:div w:id="960766539">
      <w:bodyDiv w:val="1"/>
      <w:marLeft w:val="0"/>
      <w:marRight w:val="0"/>
      <w:marTop w:val="0"/>
      <w:marBottom w:val="0"/>
      <w:divBdr>
        <w:top w:val="none" w:sz="0" w:space="0" w:color="auto"/>
        <w:left w:val="none" w:sz="0" w:space="0" w:color="auto"/>
        <w:bottom w:val="none" w:sz="0" w:space="0" w:color="auto"/>
        <w:right w:val="none" w:sz="0" w:space="0" w:color="auto"/>
      </w:divBdr>
    </w:div>
    <w:div w:id="960920891">
      <w:bodyDiv w:val="1"/>
      <w:marLeft w:val="0"/>
      <w:marRight w:val="0"/>
      <w:marTop w:val="0"/>
      <w:marBottom w:val="0"/>
      <w:divBdr>
        <w:top w:val="none" w:sz="0" w:space="0" w:color="auto"/>
        <w:left w:val="none" w:sz="0" w:space="0" w:color="auto"/>
        <w:bottom w:val="none" w:sz="0" w:space="0" w:color="auto"/>
        <w:right w:val="none" w:sz="0" w:space="0" w:color="auto"/>
      </w:divBdr>
    </w:div>
    <w:div w:id="1027633761">
      <w:bodyDiv w:val="1"/>
      <w:marLeft w:val="0"/>
      <w:marRight w:val="0"/>
      <w:marTop w:val="0"/>
      <w:marBottom w:val="0"/>
      <w:divBdr>
        <w:top w:val="none" w:sz="0" w:space="0" w:color="auto"/>
        <w:left w:val="none" w:sz="0" w:space="0" w:color="auto"/>
        <w:bottom w:val="none" w:sz="0" w:space="0" w:color="auto"/>
        <w:right w:val="none" w:sz="0" w:space="0" w:color="auto"/>
      </w:divBdr>
    </w:div>
    <w:div w:id="1068309813">
      <w:bodyDiv w:val="1"/>
      <w:marLeft w:val="0"/>
      <w:marRight w:val="0"/>
      <w:marTop w:val="0"/>
      <w:marBottom w:val="0"/>
      <w:divBdr>
        <w:top w:val="none" w:sz="0" w:space="0" w:color="auto"/>
        <w:left w:val="none" w:sz="0" w:space="0" w:color="auto"/>
        <w:bottom w:val="none" w:sz="0" w:space="0" w:color="auto"/>
        <w:right w:val="none" w:sz="0" w:space="0" w:color="auto"/>
      </w:divBdr>
    </w:div>
    <w:div w:id="1162164555">
      <w:bodyDiv w:val="1"/>
      <w:marLeft w:val="0"/>
      <w:marRight w:val="0"/>
      <w:marTop w:val="0"/>
      <w:marBottom w:val="0"/>
      <w:divBdr>
        <w:top w:val="none" w:sz="0" w:space="0" w:color="auto"/>
        <w:left w:val="none" w:sz="0" w:space="0" w:color="auto"/>
        <w:bottom w:val="none" w:sz="0" w:space="0" w:color="auto"/>
        <w:right w:val="none" w:sz="0" w:space="0" w:color="auto"/>
      </w:divBdr>
    </w:div>
    <w:div w:id="1314792265">
      <w:bodyDiv w:val="1"/>
      <w:marLeft w:val="0"/>
      <w:marRight w:val="0"/>
      <w:marTop w:val="0"/>
      <w:marBottom w:val="0"/>
      <w:divBdr>
        <w:top w:val="none" w:sz="0" w:space="0" w:color="auto"/>
        <w:left w:val="none" w:sz="0" w:space="0" w:color="auto"/>
        <w:bottom w:val="none" w:sz="0" w:space="0" w:color="auto"/>
        <w:right w:val="none" w:sz="0" w:space="0" w:color="auto"/>
      </w:divBdr>
    </w:div>
    <w:div w:id="1493833422">
      <w:bodyDiv w:val="1"/>
      <w:marLeft w:val="0"/>
      <w:marRight w:val="0"/>
      <w:marTop w:val="0"/>
      <w:marBottom w:val="0"/>
      <w:divBdr>
        <w:top w:val="none" w:sz="0" w:space="0" w:color="auto"/>
        <w:left w:val="none" w:sz="0" w:space="0" w:color="auto"/>
        <w:bottom w:val="none" w:sz="0" w:space="0" w:color="auto"/>
        <w:right w:val="none" w:sz="0" w:space="0" w:color="auto"/>
      </w:divBdr>
    </w:div>
    <w:div w:id="1579090866">
      <w:bodyDiv w:val="1"/>
      <w:marLeft w:val="0"/>
      <w:marRight w:val="0"/>
      <w:marTop w:val="0"/>
      <w:marBottom w:val="0"/>
      <w:divBdr>
        <w:top w:val="none" w:sz="0" w:space="0" w:color="auto"/>
        <w:left w:val="none" w:sz="0" w:space="0" w:color="auto"/>
        <w:bottom w:val="none" w:sz="0" w:space="0" w:color="auto"/>
        <w:right w:val="none" w:sz="0" w:space="0" w:color="auto"/>
      </w:divBdr>
    </w:div>
    <w:div w:id="18209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publicans-oversight.house.gov/wp-content/uploads/2018/10/Federal-Disaster-Response-and-Recovery-Report-1.pdf" TargetMode="External"/><Relationship Id="rId13" Type="http://schemas.openxmlformats.org/officeDocument/2006/relationships/hyperlink" Target="https://nlihc.org/explore-issues/projects-campaigns/disaster-housing-recovery/policy" TargetMode="External"/><Relationship Id="rId18" Type="http://schemas.openxmlformats.org/officeDocument/2006/relationships/hyperlink" Target="https://www.cbpp.org/research/housing/policy-basics-the-housing-choice-voucher-program" TargetMode="External"/><Relationship Id="rId3" Type="http://schemas.openxmlformats.org/officeDocument/2006/relationships/hyperlink" Target="https://nlihc.org/explore-issues/why-we-care/problem" TargetMode="External"/><Relationship Id="rId7" Type="http://schemas.openxmlformats.org/officeDocument/2006/relationships/hyperlink" Target="https://www.washingtonpost.com/business/2019/09/18/surprising-holes-our-knowledge-americas-homeless-population/" TargetMode="External"/><Relationship Id="rId12" Type="http://schemas.openxmlformats.org/officeDocument/2006/relationships/hyperlink" Target="https://scholar.harvard.edu/files/mdesmond/files/desmondkimbro.evictions.fallout.sf2015_2.pdf" TargetMode="External"/><Relationship Id="rId17" Type="http://schemas.openxmlformats.org/officeDocument/2006/relationships/hyperlink" Target="https://fred.stlouisfed.org/release?rid=456" TargetMode="External"/><Relationship Id="rId2" Type="http://schemas.openxmlformats.org/officeDocument/2006/relationships/hyperlink" Target="https://www.politifact.com/article/2019/dec/30/facts-housing-affordability-united-states/" TargetMode="External"/><Relationship Id="rId16" Type="http://schemas.openxmlformats.org/officeDocument/2006/relationships/hyperlink" Target="https://nlihc.org/sites/default/files/DAHP-Program.pdf" TargetMode="External"/><Relationship Id="rId1" Type="http://schemas.openxmlformats.org/officeDocument/2006/relationships/hyperlink" Target="https://www.jchs.harvard.edu/state-nations-housing-2019" TargetMode="External"/><Relationship Id="rId6" Type="http://schemas.openxmlformats.org/officeDocument/2006/relationships/hyperlink" Target="https://www.jchs.harvard.edu/blog/more-than-a-third-of-american-households-were-cost-burdened-last-year/" TargetMode="External"/><Relationship Id="rId11" Type="http://schemas.openxmlformats.org/officeDocument/2006/relationships/hyperlink" Target="https://www.politico.com/story/2018/05/29/houston-hurricane-harvey-fema-597912" TargetMode="External"/><Relationship Id="rId5" Type="http://schemas.openxmlformats.org/officeDocument/2006/relationships/hyperlink" Target="https://www.usatoday.com/story/opinion/2019/07/31/affordable-housing-solutions-pressure-congress-2020-candidates-column/1829177001/" TargetMode="External"/><Relationship Id="rId15" Type="http://schemas.openxmlformats.org/officeDocument/2006/relationships/hyperlink" Target="https://www.oig.dhs.gov/assets/Mgmt/OIG_11-102_Aug11.pdf" TargetMode="External"/><Relationship Id="rId10" Type="http://schemas.openxmlformats.org/officeDocument/2006/relationships/hyperlink" Target="https://nlihc.org/sites/default/files/Fixing-Americas-Broken-Disaster-Housing-Recovery-System_P1.pdf" TargetMode="External"/><Relationship Id="rId4" Type="http://schemas.openxmlformats.org/officeDocument/2006/relationships/hyperlink" Target="https://www.forbes.com/sites/brendarichardson/2019/01/31/americas-housing-affordability-crisis-only-getting-worse/" TargetMode="External"/><Relationship Id="rId9" Type="http://schemas.openxmlformats.org/officeDocument/2006/relationships/hyperlink" Target="https://nlihc.org/sites/default/files/Rental-Assistance_Setting-The-Record.pdf" TargetMode="External"/><Relationship Id="rId14" Type="http://schemas.openxmlformats.org/officeDocument/2006/relationships/hyperlink" Target="https://nlihc.org/sites/default/files/DHAP_FEMA-answ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A153112-1DDE-48F9-9764-1C3CE76B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Robert (Schatz)</dc:creator>
  <cp:keywords/>
  <dc:description/>
  <cp:lastModifiedBy>Easton, Destinee (Van Hollen)</cp:lastModifiedBy>
  <cp:revision>3</cp:revision>
  <dcterms:created xsi:type="dcterms:W3CDTF">2020-12-14T20:25:00Z</dcterms:created>
  <dcterms:modified xsi:type="dcterms:W3CDTF">2020-12-14T20:25:00Z</dcterms:modified>
</cp:coreProperties>
</file>